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C26DFE">
      <w:pPr>
        <w:pStyle w:val="2"/>
        <w:jc w:val="center"/>
        <w:outlineLvl w:val="9"/>
        <w:rPr>
          <w:rFonts w:hint="eastAsia"/>
          <w:lang w:val="en-US" w:eastAsia="zh-CN"/>
        </w:rPr>
      </w:pPr>
    </w:p>
    <w:p w14:paraId="12A4D1F9">
      <w:pPr>
        <w:pStyle w:val="2"/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1816100"/>
            <wp:effectExtent l="0" t="0" r="0" b="0"/>
            <wp:docPr id="8" name="图片 8" descr="c18d649dc7a948f4534515c8af0e0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18d649dc7a948f4534515c8af0e0c5"/>
                    <pic:cNvPicPr>
                      <a:picLocks noChangeAspect="1"/>
                    </pic:cNvPicPr>
                  </pic:nvPicPr>
                  <pic:blipFill>
                    <a:blip r:embed="rId6"/>
                    <a:srcRect t="33494" b="320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2EA56">
      <w:pPr>
        <w:pStyle w:val="2"/>
        <w:jc w:val="center"/>
        <w:outlineLvl w:val="9"/>
        <w:rPr>
          <w:sz w:val="72"/>
          <w:szCs w:val="72"/>
        </w:rPr>
      </w:pPr>
      <w:r>
        <w:rPr>
          <w:rFonts w:hint="eastAsia"/>
          <w:sz w:val="72"/>
          <w:szCs w:val="72"/>
          <w:lang w:val="en-US" w:eastAsia="zh-CN"/>
        </w:rPr>
        <w:t>崖州湾科技城</w:t>
      </w:r>
      <w:r>
        <w:rPr>
          <w:sz w:val="72"/>
          <w:szCs w:val="72"/>
        </w:rPr>
        <w:t>科研仪器</w:t>
      </w:r>
    </w:p>
    <w:p w14:paraId="3F070659">
      <w:pPr>
        <w:pStyle w:val="2"/>
        <w:jc w:val="center"/>
        <w:outlineLvl w:val="9"/>
        <w:rPr>
          <w:rFonts w:hint="default" w:eastAsiaTheme="minorEastAsia"/>
          <w:sz w:val="72"/>
          <w:szCs w:val="72"/>
          <w:lang w:val="en-US" w:eastAsia="zh-CN"/>
        </w:rPr>
      </w:pPr>
      <w:r>
        <w:rPr>
          <w:sz w:val="72"/>
          <w:szCs w:val="72"/>
        </w:rPr>
        <w:t>预约共享平台</w:t>
      </w:r>
      <w:r>
        <w:rPr>
          <w:rFonts w:hint="eastAsia"/>
          <w:sz w:val="72"/>
          <w:szCs w:val="72"/>
          <w:lang w:val="en-US" w:eastAsia="zh-CN"/>
        </w:rPr>
        <w:t>---</w:t>
      </w:r>
    </w:p>
    <w:p w14:paraId="3751A2AF">
      <w:pPr>
        <w:pStyle w:val="2"/>
        <w:jc w:val="center"/>
        <w:outlineLvl w:val="9"/>
        <w:rPr>
          <w:rFonts w:hint="eastAsia" w:eastAsiaTheme="minorEastAsia"/>
          <w:sz w:val="72"/>
          <w:szCs w:val="72"/>
          <w:lang w:val="en-US" w:eastAsia="zh-CN"/>
        </w:rPr>
      </w:pPr>
      <w:r>
        <w:rPr>
          <w:sz w:val="72"/>
          <w:szCs w:val="72"/>
        </w:rPr>
        <w:t>送样检测操作</w:t>
      </w:r>
      <w:r>
        <w:rPr>
          <w:rFonts w:hint="eastAsia"/>
          <w:sz w:val="72"/>
          <w:szCs w:val="72"/>
          <w:lang w:val="en-US" w:eastAsia="zh-CN"/>
        </w:rPr>
        <w:t>说明</w:t>
      </w:r>
    </w:p>
    <w:p w14:paraId="34F426EC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72"/>
          <w:szCs w:val="72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72"/>
          <w:szCs w:val="72"/>
          <w:lang w:val="en-US" w:eastAsia="zh-CN" w:bidi="ar-SA"/>
        </w:rPr>
        <w:id w:val="147472125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72"/>
          <w:szCs w:val="72"/>
          <w:lang w:val="en-US" w:eastAsia="zh-CN" w:bidi="ar-SA"/>
        </w:rPr>
      </w:sdtEndPr>
      <w:sdtContent>
        <w:p w14:paraId="41B23630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sz w:val="72"/>
              <w:szCs w:val="72"/>
            </w:rPr>
          </w:pPr>
          <w:r>
            <w:rPr>
              <w:rFonts w:ascii="宋体" w:hAnsi="宋体" w:eastAsia="宋体"/>
              <w:sz w:val="72"/>
              <w:szCs w:val="72"/>
            </w:rPr>
            <w:t>目录</w:t>
          </w:r>
        </w:p>
        <w:p w14:paraId="2E002ED0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sz w:val="44"/>
              <w:szCs w:val="44"/>
            </w:rPr>
          </w:pPr>
        </w:p>
        <w:p w14:paraId="5FF7A890">
          <w:pPr>
            <w:keepNext w:val="0"/>
            <w:keepLines w:val="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480" w:lineRule="auto"/>
            <w:ind w:left="0" w:leftChars="0" w:right="0" w:rightChars="0" w:firstLine="0" w:firstLineChars="0"/>
            <w:jc w:val="both"/>
            <w:textAlignment w:val="auto"/>
            <w:rPr>
              <w:rFonts w:ascii="宋体" w:hAnsi="宋体" w:eastAsia="宋体"/>
              <w:sz w:val="44"/>
              <w:szCs w:val="44"/>
            </w:rPr>
          </w:pPr>
        </w:p>
        <w:p w14:paraId="236B5BB6">
          <w:pPr>
            <w:pStyle w:val="5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sz w:val="44"/>
              <w:szCs w:val="44"/>
            </w:rPr>
          </w:pPr>
          <w:r>
            <w:rPr>
              <w:sz w:val="44"/>
              <w:szCs w:val="44"/>
            </w:rPr>
            <w:fldChar w:fldCharType="begin"/>
          </w:r>
          <w:r>
            <w:rPr>
              <w:sz w:val="44"/>
              <w:szCs w:val="44"/>
            </w:rPr>
            <w:instrText xml:space="preserve">TOC \o "1-1" \h \u </w:instrText>
          </w:r>
          <w:r>
            <w:rPr>
              <w:sz w:val="44"/>
              <w:szCs w:val="44"/>
            </w:rPr>
            <w:fldChar w:fldCharType="separate"/>
          </w:r>
          <w:r>
            <w:rPr>
              <w:sz w:val="44"/>
              <w:szCs w:val="44"/>
            </w:rPr>
            <w:fldChar w:fldCharType="begin"/>
          </w:r>
          <w:r>
            <w:rPr>
              <w:sz w:val="44"/>
              <w:szCs w:val="44"/>
            </w:rPr>
            <w:instrText xml:space="preserve"> HYPERLINK \l _Toc13523 </w:instrText>
          </w:r>
          <w:r>
            <w:rPr>
              <w:sz w:val="44"/>
              <w:szCs w:val="44"/>
            </w:rPr>
            <w:fldChar w:fldCharType="separate"/>
          </w:r>
          <w:r>
            <w:rPr>
              <w:sz w:val="44"/>
              <w:szCs w:val="44"/>
            </w:rPr>
            <w:t>一、注册与登录</w:t>
          </w:r>
          <w:r>
            <w:rPr>
              <w:sz w:val="44"/>
              <w:szCs w:val="44"/>
            </w:rPr>
            <w:tab/>
          </w:r>
          <w:r>
            <w:rPr>
              <w:sz w:val="44"/>
              <w:szCs w:val="44"/>
            </w:rPr>
            <w:fldChar w:fldCharType="begin"/>
          </w:r>
          <w:r>
            <w:rPr>
              <w:sz w:val="44"/>
              <w:szCs w:val="44"/>
            </w:rPr>
            <w:instrText xml:space="preserve"> PAGEREF _Toc13523 \h </w:instrText>
          </w:r>
          <w:r>
            <w:rPr>
              <w:sz w:val="44"/>
              <w:szCs w:val="44"/>
            </w:rPr>
            <w:fldChar w:fldCharType="separate"/>
          </w:r>
          <w:r>
            <w:rPr>
              <w:sz w:val="44"/>
              <w:szCs w:val="44"/>
            </w:rPr>
            <w:t>3</w:t>
          </w:r>
          <w:r>
            <w:rPr>
              <w:sz w:val="44"/>
              <w:szCs w:val="44"/>
            </w:rPr>
            <w:fldChar w:fldCharType="end"/>
          </w:r>
          <w:r>
            <w:rPr>
              <w:sz w:val="44"/>
              <w:szCs w:val="44"/>
            </w:rPr>
            <w:fldChar w:fldCharType="end"/>
          </w:r>
        </w:p>
        <w:p w14:paraId="7571ABC5"/>
        <w:p w14:paraId="00C8CBB9">
          <w:pPr>
            <w:pStyle w:val="5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sz w:val="44"/>
              <w:szCs w:val="44"/>
            </w:rPr>
          </w:pPr>
          <w:r>
            <w:rPr>
              <w:sz w:val="44"/>
              <w:szCs w:val="44"/>
            </w:rPr>
            <w:fldChar w:fldCharType="begin"/>
          </w:r>
          <w:r>
            <w:rPr>
              <w:sz w:val="44"/>
              <w:szCs w:val="44"/>
            </w:rPr>
            <w:instrText xml:space="preserve"> HYPERLINK \l _Toc2250 </w:instrText>
          </w:r>
          <w:r>
            <w:rPr>
              <w:sz w:val="44"/>
              <w:szCs w:val="44"/>
            </w:rPr>
            <w:fldChar w:fldCharType="separate"/>
          </w:r>
          <w:r>
            <w:rPr>
              <w:sz w:val="44"/>
              <w:szCs w:val="44"/>
            </w:rPr>
            <w:t>二、查找合适检测项目与仪器</w:t>
          </w:r>
          <w:r>
            <w:rPr>
              <w:sz w:val="44"/>
              <w:szCs w:val="44"/>
            </w:rPr>
            <w:tab/>
          </w:r>
          <w:r>
            <w:rPr>
              <w:sz w:val="44"/>
              <w:szCs w:val="44"/>
            </w:rPr>
            <w:fldChar w:fldCharType="begin"/>
          </w:r>
          <w:r>
            <w:rPr>
              <w:sz w:val="44"/>
              <w:szCs w:val="44"/>
            </w:rPr>
            <w:instrText xml:space="preserve"> PAGEREF _Toc2250 \h </w:instrText>
          </w:r>
          <w:r>
            <w:rPr>
              <w:sz w:val="44"/>
              <w:szCs w:val="44"/>
            </w:rPr>
            <w:fldChar w:fldCharType="separate"/>
          </w:r>
          <w:r>
            <w:rPr>
              <w:sz w:val="44"/>
              <w:szCs w:val="44"/>
            </w:rPr>
            <w:t>4</w:t>
          </w:r>
          <w:r>
            <w:rPr>
              <w:sz w:val="44"/>
              <w:szCs w:val="44"/>
            </w:rPr>
            <w:fldChar w:fldCharType="end"/>
          </w:r>
          <w:r>
            <w:rPr>
              <w:sz w:val="44"/>
              <w:szCs w:val="44"/>
            </w:rPr>
            <w:fldChar w:fldCharType="end"/>
          </w:r>
        </w:p>
        <w:p w14:paraId="40009E21"/>
        <w:p w14:paraId="52238CE4">
          <w:pPr>
            <w:pStyle w:val="5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sz w:val="44"/>
              <w:szCs w:val="44"/>
            </w:rPr>
          </w:pPr>
          <w:r>
            <w:rPr>
              <w:sz w:val="44"/>
              <w:szCs w:val="44"/>
            </w:rPr>
            <w:fldChar w:fldCharType="begin"/>
          </w:r>
          <w:r>
            <w:rPr>
              <w:sz w:val="44"/>
              <w:szCs w:val="44"/>
            </w:rPr>
            <w:instrText xml:space="preserve"> HYPERLINK \l _Toc9805 </w:instrText>
          </w:r>
          <w:r>
            <w:rPr>
              <w:sz w:val="44"/>
              <w:szCs w:val="44"/>
            </w:rPr>
            <w:fldChar w:fldCharType="separate"/>
          </w:r>
          <w:r>
            <w:rPr>
              <w:sz w:val="44"/>
              <w:szCs w:val="44"/>
            </w:rPr>
            <w:t>三、提交送样检测预约申请</w:t>
          </w:r>
          <w:r>
            <w:rPr>
              <w:sz w:val="44"/>
              <w:szCs w:val="44"/>
            </w:rPr>
            <w:tab/>
          </w:r>
          <w:r>
            <w:rPr>
              <w:sz w:val="44"/>
              <w:szCs w:val="44"/>
            </w:rPr>
            <w:fldChar w:fldCharType="begin"/>
          </w:r>
          <w:r>
            <w:rPr>
              <w:sz w:val="44"/>
              <w:szCs w:val="44"/>
            </w:rPr>
            <w:instrText xml:space="preserve"> PAGEREF _Toc9805 \h </w:instrText>
          </w:r>
          <w:r>
            <w:rPr>
              <w:sz w:val="44"/>
              <w:szCs w:val="44"/>
            </w:rPr>
            <w:fldChar w:fldCharType="separate"/>
          </w:r>
          <w:r>
            <w:rPr>
              <w:sz w:val="44"/>
              <w:szCs w:val="44"/>
            </w:rPr>
            <w:t>4</w:t>
          </w:r>
          <w:r>
            <w:rPr>
              <w:sz w:val="44"/>
              <w:szCs w:val="44"/>
            </w:rPr>
            <w:fldChar w:fldCharType="end"/>
          </w:r>
          <w:r>
            <w:rPr>
              <w:sz w:val="44"/>
              <w:szCs w:val="44"/>
            </w:rPr>
            <w:fldChar w:fldCharType="end"/>
          </w:r>
        </w:p>
        <w:p w14:paraId="7655E29C"/>
        <w:p w14:paraId="48748B97">
          <w:pPr>
            <w:pStyle w:val="5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sz w:val="44"/>
              <w:szCs w:val="44"/>
            </w:rPr>
          </w:pPr>
          <w:r>
            <w:rPr>
              <w:sz w:val="44"/>
              <w:szCs w:val="44"/>
            </w:rPr>
            <w:fldChar w:fldCharType="begin"/>
          </w:r>
          <w:r>
            <w:rPr>
              <w:sz w:val="44"/>
              <w:szCs w:val="44"/>
            </w:rPr>
            <w:instrText xml:space="preserve"> HYPERLINK \l _Toc19963 </w:instrText>
          </w:r>
          <w:r>
            <w:rPr>
              <w:sz w:val="44"/>
              <w:szCs w:val="44"/>
            </w:rPr>
            <w:fldChar w:fldCharType="separate"/>
          </w:r>
          <w:r>
            <w:rPr>
              <w:sz w:val="44"/>
              <w:szCs w:val="44"/>
            </w:rPr>
            <w:t>四、审核与通知</w:t>
          </w:r>
          <w:r>
            <w:rPr>
              <w:sz w:val="44"/>
              <w:szCs w:val="44"/>
            </w:rPr>
            <w:tab/>
          </w:r>
          <w:r>
            <w:rPr>
              <w:sz w:val="44"/>
              <w:szCs w:val="44"/>
            </w:rPr>
            <w:fldChar w:fldCharType="begin"/>
          </w:r>
          <w:r>
            <w:rPr>
              <w:sz w:val="44"/>
              <w:szCs w:val="44"/>
            </w:rPr>
            <w:instrText xml:space="preserve"> PAGEREF _Toc19963 \h </w:instrText>
          </w:r>
          <w:r>
            <w:rPr>
              <w:sz w:val="44"/>
              <w:szCs w:val="44"/>
            </w:rPr>
            <w:fldChar w:fldCharType="separate"/>
          </w:r>
          <w:r>
            <w:rPr>
              <w:sz w:val="44"/>
              <w:szCs w:val="44"/>
            </w:rPr>
            <w:t>6</w:t>
          </w:r>
          <w:r>
            <w:rPr>
              <w:sz w:val="44"/>
              <w:szCs w:val="44"/>
            </w:rPr>
            <w:fldChar w:fldCharType="end"/>
          </w:r>
          <w:r>
            <w:rPr>
              <w:sz w:val="44"/>
              <w:szCs w:val="44"/>
            </w:rPr>
            <w:fldChar w:fldCharType="end"/>
          </w:r>
        </w:p>
        <w:p w14:paraId="7095380F"/>
        <w:p w14:paraId="7EC0FCAE">
          <w:pPr>
            <w:pStyle w:val="5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sz w:val="44"/>
              <w:szCs w:val="44"/>
            </w:rPr>
          </w:pPr>
          <w:r>
            <w:rPr>
              <w:sz w:val="44"/>
              <w:szCs w:val="44"/>
            </w:rPr>
            <w:fldChar w:fldCharType="begin"/>
          </w:r>
          <w:r>
            <w:rPr>
              <w:sz w:val="44"/>
              <w:szCs w:val="44"/>
            </w:rPr>
            <w:instrText xml:space="preserve"> HYPERLINK \l _Toc12540 </w:instrText>
          </w:r>
          <w:r>
            <w:rPr>
              <w:sz w:val="44"/>
              <w:szCs w:val="44"/>
            </w:rPr>
            <w:fldChar w:fldCharType="separate"/>
          </w:r>
          <w:r>
            <w:rPr>
              <w:sz w:val="44"/>
              <w:szCs w:val="44"/>
            </w:rPr>
            <w:t>五、送样准备与送达</w:t>
          </w:r>
          <w:r>
            <w:rPr>
              <w:sz w:val="44"/>
              <w:szCs w:val="44"/>
            </w:rPr>
            <w:tab/>
          </w:r>
          <w:r>
            <w:rPr>
              <w:sz w:val="44"/>
              <w:szCs w:val="44"/>
            </w:rPr>
            <w:fldChar w:fldCharType="begin"/>
          </w:r>
          <w:r>
            <w:rPr>
              <w:sz w:val="44"/>
              <w:szCs w:val="44"/>
            </w:rPr>
            <w:instrText xml:space="preserve"> PAGEREF _Toc12540 \h </w:instrText>
          </w:r>
          <w:r>
            <w:rPr>
              <w:sz w:val="44"/>
              <w:szCs w:val="44"/>
            </w:rPr>
            <w:fldChar w:fldCharType="separate"/>
          </w:r>
          <w:r>
            <w:rPr>
              <w:sz w:val="44"/>
              <w:szCs w:val="44"/>
            </w:rPr>
            <w:t>7</w:t>
          </w:r>
          <w:r>
            <w:rPr>
              <w:sz w:val="44"/>
              <w:szCs w:val="44"/>
            </w:rPr>
            <w:fldChar w:fldCharType="end"/>
          </w:r>
          <w:r>
            <w:rPr>
              <w:sz w:val="44"/>
              <w:szCs w:val="44"/>
            </w:rPr>
            <w:fldChar w:fldCharType="end"/>
          </w:r>
        </w:p>
        <w:p w14:paraId="71282771"/>
        <w:p w14:paraId="5618B933">
          <w:pPr>
            <w:pStyle w:val="5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sz w:val="44"/>
              <w:szCs w:val="44"/>
            </w:rPr>
          </w:pPr>
          <w:r>
            <w:rPr>
              <w:sz w:val="44"/>
              <w:szCs w:val="44"/>
            </w:rPr>
            <w:fldChar w:fldCharType="begin"/>
          </w:r>
          <w:r>
            <w:rPr>
              <w:sz w:val="44"/>
              <w:szCs w:val="44"/>
            </w:rPr>
            <w:instrText xml:space="preserve"> HYPERLINK \l _Toc10696 </w:instrText>
          </w:r>
          <w:r>
            <w:rPr>
              <w:sz w:val="44"/>
              <w:szCs w:val="44"/>
            </w:rPr>
            <w:fldChar w:fldCharType="separate"/>
          </w:r>
          <w:r>
            <w:rPr>
              <w:rFonts w:hint="eastAsia"/>
              <w:sz w:val="44"/>
              <w:szCs w:val="44"/>
              <w:lang w:val="en-US" w:eastAsia="zh-CN"/>
            </w:rPr>
            <w:t>六</w:t>
          </w:r>
          <w:r>
            <w:rPr>
              <w:sz w:val="44"/>
              <w:szCs w:val="44"/>
            </w:rPr>
            <w:t>、</w:t>
          </w:r>
          <w:r>
            <w:rPr>
              <w:rFonts w:hint="eastAsia"/>
              <w:sz w:val="44"/>
              <w:szCs w:val="44"/>
              <w:lang w:val="en-US" w:eastAsia="zh-CN"/>
            </w:rPr>
            <w:t>测样结算及报告获取</w:t>
          </w:r>
          <w:r>
            <w:rPr>
              <w:sz w:val="44"/>
              <w:szCs w:val="44"/>
            </w:rPr>
            <w:tab/>
          </w:r>
          <w:r>
            <w:rPr>
              <w:sz w:val="44"/>
              <w:szCs w:val="44"/>
            </w:rPr>
            <w:fldChar w:fldCharType="begin"/>
          </w:r>
          <w:r>
            <w:rPr>
              <w:sz w:val="44"/>
              <w:szCs w:val="44"/>
            </w:rPr>
            <w:instrText xml:space="preserve"> PAGEREF _Toc10696 \h </w:instrText>
          </w:r>
          <w:r>
            <w:rPr>
              <w:sz w:val="44"/>
              <w:szCs w:val="44"/>
            </w:rPr>
            <w:fldChar w:fldCharType="separate"/>
          </w:r>
          <w:r>
            <w:rPr>
              <w:sz w:val="44"/>
              <w:szCs w:val="44"/>
            </w:rPr>
            <w:t>7</w:t>
          </w:r>
          <w:r>
            <w:rPr>
              <w:sz w:val="44"/>
              <w:szCs w:val="44"/>
            </w:rPr>
            <w:fldChar w:fldCharType="end"/>
          </w:r>
          <w:r>
            <w:rPr>
              <w:sz w:val="44"/>
              <w:szCs w:val="44"/>
            </w:rPr>
            <w:fldChar w:fldCharType="end"/>
          </w:r>
        </w:p>
        <w:p w14:paraId="45160476">
          <w:pPr>
            <w:keepNext w:val="0"/>
            <w:keepLines w:val="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sz w:val="44"/>
              <w:szCs w:val="44"/>
            </w:rPr>
            <w:fldChar w:fldCharType="end"/>
          </w:r>
        </w:p>
      </w:sdtContent>
    </w:sdt>
    <w:p w14:paraId="34069F1E"/>
    <w:p w14:paraId="443AA777">
      <w:pPr>
        <w:pStyle w:val="2"/>
        <w:outlineLvl w:val="0"/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bookmarkStart w:id="0" w:name="_Toc13523"/>
    </w:p>
    <w:p w14:paraId="63A65268">
      <w:pPr>
        <w:pStyle w:val="2"/>
        <w:outlineLvl w:val="0"/>
      </w:pPr>
      <w:r>
        <w:t>一</w:t>
      </w:r>
      <w:bookmarkStart w:id="6" w:name="_GoBack"/>
      <w:bookmarkEnd w:id="6"/>
      <w:r>
        <w:t>、注册与登录</w:t>
      </w:r>
      <w:bookmarkEnd w:id="0"/>
    </w:p>
    <w:p w14:paraId="5D8A3901">
      <w:pPr>
        <w:numPr>
          <w:ilvl w:val="0"/>
          <w:numId w:val="1"/>
        </w:numPr>
        <w:spacing w:before="0" w:beforeAutospacing="1" w:after="0" w:afterAutospacing="1"/>
        <w:ind w:left="720" w:hanging="360"/>
        <w:rPr>
          <w:rFonts w:hint="eastAsia"/>
        </w:rPr>
      </w:pPr>
      <w:r>
        <w:rPr>
          <w:b/>
        </w:rPr>
        <w:t>注册</w:t>
      </w:r>
      <w:r>
        <w:rPr>
          <w:rFonts w:hint="eastAsia"/>
          <w:b/>
          <w:lang w:eastAsia="zh-CN"/>
        </w:rPr>
        <w:t>：</w:t>
      </w:r>
      <w:r>
        <w:rPr>
          <w:rFonts w:hint="eastAsia"/>
        </w:rPr>
        <w:t>通过“应用商店”下载“我爱崖州湾”APP，</w:t>
      </w:r>
      <w:r>
        <w:rPr>
          <w:rFonts w:hint="eastAsia"/>
          <w:lang w:val="en-US" w:eastAsia="zh-CN"/>
        </w:rPr>
        <w:t>并通过手机号进行登录并完成实名认证</w:t>
      </w:r>
      <w:r>
        <w:rPr>
          <w:rFonts w:hint="eastAsia"/>
        </w:rPr>
        <w:t>。</w:t>
      </w:r>
    </w:p>
    <w:p w14:paraId="537944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0" w:afterAutospacing="1" w:line="840" w:lineRule="auto"/>
        <w:ind w:left="363" w:leftChars="0"/>
        <w:textAlignment w:val="auto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1202055" cy="2496820"/>
            <wp:effectExtent l="0" t="0" r="190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</w:t>
      </w:r>
      <w:r>
        <w:drawing>
          <wp:inline distT="0" distB="0" distL="114300" distR="114300">
            <wp:extent cx="1179830" cy="2475865"/>
            <wp:effectExtent l="0" t="0" r="889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2E252">
      <w:pPr>
        <w:numPr>
          <w:ilvl w:val="0"/>
          <w:numId w:val="0"/>
        </w:numPr>
        <w:spacing w:before="0" w:beforeAutospacing="1" w:after="0" w:afterAutospacing="1"/>
        <w:ind w:firstLine="1680" w:firstLineChars="8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软件下载                            登录认证入口</w:t>
      </w:r>
    </w:p>
    <w:p w14:paraId="3AD265C8">
      <w:pPr>
        <w:numPr>
          <w:ilvl w:val="0"/>
          <w:numId w:val="1"/>
        </w:numPr>
        <w:spacing w:before="0" w:beforeAutospacing="1" w:after="0" w:afterAutospacing="1"/>
        <w:ind w:left="720" w:hanging="360"/>
        <w:rPr>
          <w:rFonts w:hint="eastAsia"/>
          <w:lang w:val="en-US" w:eastAsia="zh-CN"/>
        </w:rPr>
      </w:pPr>
      <w:r>
        <w:rPr>
          <w:b/>
        </w:rPr>
        <w:t>登录</w:t>
      </w:r>
      <w:r>
        <w:t>：</w:t>
      </w:r>
    </w:p>
    <w:p w14:paraId="11ABB221">
      <w:pPr>
        <w:numPr>
          <w:ilvl w:val="1"/>
          <w:numId w:val="1"/>
        </w:numPr>
        <w:spacing w:before="0" w:beforeAutospacing="1" w:after="0" w:afterAutospacing="1"/>
        <w:ind w:left="120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手机端：打开“我爱崖州湾”APP，通过底部导航栏找到“服务”，下滑至“企业服务”找到“科研仪器共享”，进入平台。</w:t>
      </w:r>
    </w:p>
    <w:p w14:paraId="13F44AA5">
      <w:pPr>
        <w:numPr>
          <w:ilvl w:val="1"/>
          <w:numId w:val="1"/>
        </w:numPr>
        <w:spacing w:before="0" w:beforeAutospacing="1" w:after="0" w:afterAutospacing="1"/>
        <w:ind w:left="1200" w:leftChars="0" w:hanging="420" w:firstLineChars="0"/>
      </w:pPr>
      <w:r>
        <w:rPr>
          <w:rFonts w:hint="eastAsia"/>
          <w:lang w:val="en-US" w:eastAsia="zh-CN"/>
        </w:rPr>
        <w:t>网页端：浏览器通过网址（https://labreservation.yazhoubay.com/）进入平台，使用“我爱崖州湾”APP账号进行登录后方可进入平台使用。（</w:t>
      </w:r>
      <w:r>
        <w:rPr>
          <w:rFonts w:hint="eastAsia"/>
          <w:color w:val="FF0000"/>
          <w:lang w:val="en-US" w:eastAsia="zh-CN"/>
        </w:rPr>
        <w:t>注：</w:t>
      </w:r>
      <w:r>
        <w:rPr>
          <w:rFonts w:hint="eastAsia"/>
          <w:lang w:val="en-US" w:eastAsia="zh-CN"/>
        </w:rPr>
        <w:t>首次进入用户必须通过手机端完成身份认证，并至少一次进入过“科研仪器共享”模块）</w:t>
      </w:r>
    </w:p>
    <w:p w14:paraId="6C53468A">
      <w:pPr>
        <w:numPr>
          <w:ilvl w:val="0"/>
          <w:numId w:val="0"/>
        </w:numPr>
        <w:spacing w:before="0" w:beforeAutospacing="1" w:after="0" w:afterAutospacing="1"/>
        <w:ind w:left="360" w:leftChars="0"/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703580</wp:posOffset>
            </wp:positionV>
            <wp:extent cx="3368675" cy="1331595"/>
            <wp:effectExtent l="0" t="0" r="14605" b="9525"/>
            <wp:wrapTight wrapText="bothSides">
              <wp:wrapPolygon>
                <wp:start x="0" y="0"/>
                <wp:lineTo x="0" y="21260"/>
                <wp:lineTo x="21498" y="21260"/>
                <wp:lineTo x="21498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b="24012"/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209675" cy="2528570"/>
            <wp:effectExtent l="0" t="0" r="9525" b="1270"/>
            <wp:docPr id="97020" name="image 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20" name="image 7020"/>
                    <pic:cNvPicPr>
                      <a:picLocks noChangeAspect="1"/>
                    </pic:cNvPicPr>
                  </pic:nvPicPr>
                  <pic:blipFill>
                    <a:blip r:embed="rId10"/>
                    <a:srcRect t="4411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</w:p>
    <w:p w14:paraId="6348ADA4">
      <w:pPr>
        <w:numPr>
          <w:ilvl w:val="0"/>
          <w:numId w:val="0"/>
        </w:numPr>
        <w:spacing w:before="0" w:beforeAutospacing="1" w:after="0" w:afterAutospacing="1"/>
        <w:ind w:left="360" w:leftChars="0"/>
      </w:pPr>
    </w:p>
    <w:p w14:paraId="5563505C">
      <w:pPr>
        <w:pStyle w:val="2"/>
        <w:outlineLvl w:val="0"/>
      </w:pPr>
      <w:bookmarkStart w:id="1" w:name="_Toc2250"/>
      <w:r>
        <w:t>二、查找合适检测项目与仪器</w:t>
      </w:r>
      <w:bookmarkEnd w:id="1"/>
    </w:p>
    <w:p w14:paraId="3B78218A">
      <w:pPr>
        <w:numPr>
          <w:ilvl w:val="0"/>
          <w:numId w:val="2"/>
        </w:numPr>
        <w:spacing w:before="0" w:beforeAutospacing="1" w:after="0" w:afterAutospacing="1"/>
        <w:ind w:left="720" w:hanging="360"/>
      </w:pPr>
      <w:r>
        <w:rPr>
          <w:b/>
        </w:rPr>
        <w:t>浏览项目</w:t>
      </w:r>
      <w:r>
        <w:t>：成功登录后，进入平台主界面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在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检测项目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中查看各单位可检测的项目，详情包含服务事项、服务内容、服务地址，联系人，相关资质等内容</w:t>
      </w:r>
      <w:r>
        <w:t>。</w:t>
      </w:r>
    </w:p>
    <w:p w14:paraId="7FEF3393">
      <w:pPr>
        <w:numPr>
          <w:ilvl w:val="0"/>
          <w:numId w:val="0"/>
        </w:numPr>
        <w:spacing w:before="0" w:beforeAutospacing="1" w:after="0" w:afterAutospacing="1"/>
        <w:ind w:left="360" w:leftChars="0"/>
      </w:pPr>
      <w:r>
        <w:drawing>
          <wp:inline distT="0" distB="0" distL="114300" distR="114300">
            <wp:extent cx="5272405" cy="17576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t="3296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4006E">
      <w:pPr>
        <w:numPr>
          <w:ilvl w:val="0"/>
          <w:numId w:val="2"/>
        </w:numPr>
        <w:spacing w:before="0" w:beforeAutospacing="1" w:after="0" w:afterAutospacing="1"/>
        <w:ind w:left="720" w:hanging="360"/>
      </w:pPr>
      <w:r>
        <w:rPr>
          <w:rFonts w:hint="eastAsia"/>
          <w:b/>
          <w:lang w:val="en-US" w:eastAsia="zh-CN"/>
        </w:rPr>
        <w:t>送样</w:t>
      </w:r>
      <w:r>
        <w:rPr>
          <w:b/>
        </w:rPr>
        <w:t>仪器</w:t>
      </w:r>
      <w:r>
        <w:t>：在导航栏中选择“</w:t>
      </w:r>
      <w:r>
        <w:rPr>
          <w:rFonts w:hint="eastAsia"/>
          <w:lang w:val="en-US" w:eastAsia="zh-CN"/>
        </w:rPr>
        <w:t>仪器设备</w:t>
      </w:r>
      <w:r>
        <w:t>”板块，点击进入</w:t>
      </w:r>
      <w:r>
        <w:rPr>
          <w:rFonts w:hint="eastAsia"/>
          <w:lang w:val="en-US" w:eastAsia="zh-CN"/>
        </w:rPr>
        <w:t>可查看支持送样的仪器设备</w:t>
      </w:r>
      <w:r>
        <w:t>。此处将按照不同</w:t>
      </w:r>
      <w:r>
        <w:rPr>
          <w:rFonts w:hint="eastAsia"/>
          <w:lang w:val="en-US" w:eastAsia="zh-CN"/>
        </w:rPr>
        <w:t>单位</w:t>
      </w:r>
      <w:r>
        <w:t>、类别</w:t>
      </w:r>
      <w:r>
        <w:rPr>
          <w:rFonts w:hint="eastAsia"/>
          <w:lang w:val="en-US" w:eastAsia="zh-CN"/>
        </w:rPr>
        <w:t>以及状态</w:t>
      </w:r>
      <w:r>
        <w:t>等进行分类展示。根据送样的实际需求，选择相应</w:t>
      </w:r>
      <w:r>
        <w:rPr>
          <w:rFonts w:hint="eastAsia"/>
          <w:lang w:val="en-US" w:eastAsia="zh-CN"/>
        </w:rPr>
        <w:t>仪器设备</w:t>
      </w:r>
      <w:r>
        <w:t>以查看详细的检测项目列表，点击仪器名称，可查看仪器的详细参数、技术指标、适用样品类型等详细信息，以确认该仪器是否满足送样检测的具体要求。同时，还能看到该仪器的当前预约情况，包括已预约时间段和可预约时间段。</w:t>
      </w:r>
    </w:p>
    <w:p w14:paraId="28C90A83">
      <w:pPr>
        <w:numPr>
          <w:ilvl w:val="0"/>
          <w:numId w:val="0"/>
        </w:numPr>
        <w:spacing w:before="0" w:beforeAutospacing="1" w:after="0" w:afterAutospacing="1"/>
        <w:ind w:left="360" w:leftChars="0"/>
      </w:pPr>
      <w:r>
        <w:drawing>
          <wp:inline distT="0" distB="0" distL="114300" distR="114300">
            <wp:extent cx="5272405" cy="2621915"/>
            <wp:effectExtent l="0" t="0" r="63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E16C2">
      <w:pPr>
        <w:pStyle w:val="2"/>
        <w:outlineLvl w:val="0"/>
      </w:pPr>
      <w:bookmarkStart w:id="2" w:name="_Toc9805"/>
      <w:r>
        <w:t>三、提交送样检测预约申请</w:t>
      </w:r>
      <w:bookmarkEnd w:id="2"/>
    </w:p>
    <w:p w14:paraId="79DC9B0C">
      <w:pPr>
        <w:numPr>
          <w:ilvl w:val="0"/>
          <w:numId w:val="3"/>
        </w:numPr>
        <w:spacing w:before="0" w:beforeAutospacing="1" w:after="0" w:afterAutospacing="1"/>
        <w:ind w:left="720" w:hanging="360"/>
      </w:pPr>
      <w:r>
        <w:rPr>
          <w:b/>
        </w:rPr>
        <w:t>填写申请</w:t>
      </w:r>
      <w:r>
        <w:t>：确定检测项目和仪器后，点击“</w:t>
      </w:r>
      <w:r>
        <w:rPr>
          <w:rFonts w:hint="eastAsia"/>
          <w:lang w:val="en-US" w:eastAsia="zh-CN"/>
        </w:rPr>
        <w:t>我要送样</w:t>
      </w:r>
      <w:r>
        <w:t>”按钮。在预约申请页面，详细填写送样相关信息</w:t>
      </w:r>
      <w:r>
        <w:rPr>
          <w:rFonts w:hint="eastAsia"/>
          <w:lang w:eastAsia="zh-CN"/>
        </w:rPr>
        <w:t>，</w:t>
      </w:r>
      <w:r>
        <w:t>包括送样人姓名、联络方式、送样日期、预计检测完成时间等。详细描述样品信息，如样品名称、</w:t>
      </w:r>
      <w:r>
        <w:rPr>
          <w:rFonts w:hint="eastAsia"/>
          <w:lang w:val="en-US" w:eastAsia="zh-CN"/>
        </w:rPr>
        <w:t>样品性状（毒性、腐蚀、易燃、易爆）、</w:t>
      </w:r>
      <w:r>
        <w:t>样品</w:t>
      </w:r>
      <w:r>
        <w:rPr>
          <w:rFonts w:hint="eastAsia"/>
          <w:lang w:val="en-US" w:eastAsia="zh-CN"/>
        </w:rPr>
        <w:t>状态</w:t>
      </w:r>
      <w:r>
        <w:t>（固体、液体、气体等）、</w:t>
      </w:r>
      <w:r>
        <w:rPr>
          <w:rFonts w:hint="eastAsia"/>
          <w:lang w:val="en-US" w:eastAsia="zh-CN"/>
        </w:rPr>
        <w:t>保存要求</w:t>
      </w:r>
      <w:r>
        <w:t>、</w:t>
      </w:r>
      <w:r>
        <w:rPr>
          <w:rFonts w:hint="eastAsia"/>
          <w:lang w:val="en-US" w:eastAsia="zh-CN"/>
        </w:rPr>
        <w:t>是否前处理</w:t>
      </w:r>
      <w:r>
        <w:t>、</w:t>
      </w:r>
      <w:r>
        <w:rPr>
          <w:rFonts w:hint="eastAsia"/>
          <w:lang w:val="en-US" w:eastAsia="zh-CN"/>
        </w:rPr>
        <w:t>样品数量</w:t>
      </w:r>
      <w:r>
        <w:t>等，以便检测人员提前了解样品特性。同时，明确检测要求和期望的检测结果形式，如</w:t>
      </w:r>
      <w:r>
        <w:rPr>
          <w:rFonts w:hint="eastAsia"/>
          <w:lang w:val="en-US" w:eastAsia="zh-CN"/>
        </w:rPr>
        <w:t>报告形式（原始数据、数据保证）、报告领取方式（自取、寄送、网上下载）、检测要求</w:t>
      </w:r>
      <w:r>
        <w:t>等。</w:t>
      </w:r>
    </w:p>
    <w:p w14:paraId="2C726156">
      <w:pPr>
        <w:numPr>
          <w:ilvl w:val="0"/>
          <w:numId w:val="0"/>
        </w:numPr>
        <w:spacing w:before="0" w:beforeAutospacing="1" w:after="0" w:afterAutospacing="1"/>
        <w:ind w:left="360" w:leftChars="0"/>
      </w:pPr>
      <w:r>
        <w:drawing>
          <wp:inline distT="0" distB="0" distL="114300" distR="114300">
            <wp:extent cx="5267325" cy="4203700"/>
            <wp:effectExtent l="0" t="0" r="571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EC166">
      <w:pPr>
        <w:numPr>
          <w:ilvl w:val="0"/>
          <w:numId w:val="0"/>
        </w:numPr>
        <w:spacing w:before="0" w:beforeAutospacing="1" w:after="0" w:afterAutospacing="1"/>
        <w:ind w:left="360" w:leftChars="0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73025</wp:posOffset>
            </wp:positionV>
            <wp:extent cx="3598545" cy="1983740"/>
            <wp:effectExtent l="0" t="0" r="13335" b="12700"/>
            <wp:wrapTight wrapText="bothSides">
              <wp:wrapPolygon>
                <wp:start x="0" y="0"/>
                <wp:lineTo x="0" y="21406"/>
                <wp:lineTo x="21497" y="21406"/>
                <wp:lineTo x="21497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8545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192530" cy="2498090"/>
            <wp:effectExtent l="0" t="0" r="1143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 w14:paraId="734C17F4">
      <w:pPr>
        <w:numPr>
          <w:ilvl w:val="0"/>
          <w:numId w:val="3"/>
        </w:numPr>
        <w:spacing w:before="0" w:beforeAutospacing="1" w:after="0" w:afterAutospacing="1"/>
        <w:ind w:left="720" w:hanging="360"/>
      </w:pPr>
      <w:r>
        <w:rPr>
          <w:b/>
        </w:rPr>
        <w:t>提交审核</w:t>
      </w:r>
      <w:r>
        <w:t>：仔细核对填写的所有信息无误后，点击“提交”按钮。预约申请将发送至平台管理人员和相关仪器负责人处进行审核。</w:t>
      </w:r>
    </w:p>
    <w:p w14:paraId="3EC85B2A">
      <w:pPr>
        <w:pStyle w:val="2"/>
        <w:outlineLvl w:val="0"/>
      </w:pPr>
      <w:bookmarkStart w:id="3" w:name="_Toc19963"/>
      <w:r>
        <w:t>四、审核与通知</w:t>
      </w:r>
      <w:bookmarkEnd w:id="3"/>
    </w:p>
    <w:p w14:paraId="55B40FFD">
      <w:pPr>
        <w:numPr>
          <w:ilvl w:val="0"/>
          <w:numId w:val="4"/>
        </w:numPr>
        <w:spacing w:before="0" w:beforeAutospacing="1" w:after="0" w:afterAutospacing="1"/>
        <w:ind w:left="720" w:hanging="360"/>
      </w:pPr>
      <w:r>
        <w:rPr>
          <w:rFonts w:hint="eastAsia"/>
          <w:b/>
          <w:lang w:val="en-US" w:eastAsia="zh-CN"/>
        </w:rPr>
        <w:t>管理员审批</w:t>
      </w:r>
      <w:r>
        <w:t>：</w:t>
      </w:r>
      <w:r>
        <w:rPr>
          <w:rFonts w:hint="eastAsia"/>
          <w:lang w:val="en-US" w:eastAsia="zh-CN"/>
        </w:rPr>
        <w:t>仪器</w:t>
      </w:r>
      <w:r>
        <w:t>管理人员收到预约申请后，</w:t>
      </w:r>
      <w:r>
        <w:rPr>
          <w:rFonts w:hint="eastAsia"/>
          <w:lang w:val="en-US" w:eastAsia="zh-CN"/>
        </w:rPr>
        <w:t>需</w:t>
      </w:r>
      <w:r>
        <w:t>将对申请信息进行审核。审核内容包括样品信息是否完整、检测要求是否合理等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审核通过时需填写本单位的样品接收员，由该接样人员进行相关对接工作。</w:t>
      </w:r>
      <w:r>
        <w:t>如申请信息存在疑问或不符合要求，审核人员将通过平台站内信等方式联系送样人，要求补充或修改信息。</w:t>
      </w:r>
    </w:p>
    <w:p w14:paraId="61229E01">
      <w:pPr>
        <w:numPr>
          <w:ilvl w:val="0"/>
          <w:numId w:val="0"/>
        </w:numPr>
        <w:spacing w:before="0" w:beforeAutospacing="1" w:after="0" w:afterAutospacing="1"/>
        <w:ind w:left="360" w:leftChars="0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1586230</wp:posOffset>
            </wp:positionH>
            <wp:positionV relativeFrom="paragraph">
              <wp:posOffset>146050</wp:posOffset>
            </wp:positionV>
            <wp:extent cx="3857625" cy="1927860"/>
            <wp:effectExtent l="0" t="0" r="13335" b="7620"/>
            <wp:wrapThrough wrapText="bothSides">
              <wp:wrapPolygon>
                <wp:start x="0" y="0"/>
                <wp:lineTo x="0" y="21515"/>
                <wp:lineTo x="21504" y="21515"/>
                <wp:lineTo x="21504" y="0"/>
                <wp:lineTo x="0" y="0"/>
              </wp:wrapPolygon>
            </wp:wrapThrough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1119505" cy="2332990"/>
            <wp:effectExtent l="0" t="0" r="8255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63F41">
      <w:pPr>
        <w:numPr>
          <w:ilvl w:val="0"/>
          <w:numId w:val="4"/>
        </w:numPr>
        <w:spacing w:before="0" w:beforeAutospacing="1" w:after="0" w:afterAutospacing="1"/>
        <w:ind w:left="720" w:hanging="360"/>
      </w:pPr>
      <w:r>
        <w:rPr>
          <w:rFonts w:hint="eastAsia"/>
          <w:b/>
          <w:lang w:val="en-US" w:eastAsia="zh-CN"/>
        </w:rPr>
        <w:t>费用核定：</w:t>
      </w:r>
      <w:r>
        <w:rPr>
          <w:rFonts w:hint="eastAsia"/>
          <w:lang w:val="en-US" w:eastAsia="zh-CN"/>
        </w:rPr>
        <w:t>样样品接收人员在收到样品订单后，需对本次订单的实验进行评估，包括测试项目、标准、样品数量等具体需求。同时，需计算预计检测费用，并提供详细的送样地点及其他相关信息。完成以上步骤后，点击“提交用户确认”按钮，由用户确认价格是否满足要求。</w:t>
      </w:r>
    </w:p>
    <w:p w14:paraId="5FD055C1">
      <w:pPr>
        <w:numPr>
          <w:ilvl w:val="0"/>
          <w:numId w:val="0"/>
        </w:numPr>
        <w:spacing w:before="0" w:beforeAutospacing="1" w:after="0" w:afterAutospacing="1"/>
        <w:ind w:left="360" w:leftChars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1910080</wp:posOffset>
            </wp:positionH>
            <wp:positionV relativeFrom="paragraph">
              <wp:posOffset>334645</wp:posOffset>
            </wp:positionV>
            <wp:extent cx="3316605" cy="1832610"/>
            <wp:effectExtent l="0" t="0" r="5715" b="11430"/>
            <wp:wrapThrough wrapText="bothSides">
              <wp:wrapPolygon>
                <wp:start x="0" y="0"/>
                <wp:lineTo x="0" y="21375"/>
                <wp:lineTo x="21538" y="21375"/>
                <wp:lineTo x="21538" y="0"/>
                <wp:lineTo x="0" y="0"/>
              </wp:wrapPolygon>
            </wp:wrapThrough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092200" cy="2260600"/>
            <wp:effectExtent l="0" t="0" r="5080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</w:p>
    <w:p w14:paraId="3E4D9036">
      <w:pPr>
        <w:numPr>
          <w:ilvl w:val="0"/>
          <w:numId w:val="0"/>
        </w:numPr>
        <w:spacing w:before="0" w:beforeAutospacing="1" w:after="0" w:afterAutospacing="1"/>
        <w:ind w:left="360" w:leftChars="0"/>
        <w:rPr>
          <w:rFonts w:hint="eastAsia"/>
          <w:lang w:val="en-US" w:eastAsia="zh-CN"/>
        </w:rPr>
      </w:pPr>
    </w:p>
    <w:p w14:paraId="1B4A5750">
      <w:pPr>
        <w:numPr>
          <w:ilvl w:val="0"/>
          <w:numId w:val="4"/>
        </w:numPr>
        <w:spacing w:before="0" w:beforeAutospacing="1" w:after="0" w:afterAutospacing="1"/>
        <w:ind w:left="720" w:hanging="360"/>
        <w:rPr>
          <w:b/>
        </w:rPr>
      </w:pPr>
      <w:r>
        <w:rPr>
          <w:rFonts w:hint="eastAsia"/>
          <w:b/>
          <w:lang w:val="en-US" w:eastAsia="zh-CN"/>
        </w:rPr>
        <w:t>用户确认：</w:t>
      </w:r>
      <w:r>
        <w:rPr>
          <w:rFonts w:hint="eastAsia"/>
          <w:lang w:val="en-US" w:eastAsia="zh-CN"/>
        </w:rPr>
        <w:t>用户需确认检测费用的核对价格。若接受该价格，则根据送样地址安排相关送样事宜；若存在异议，需与接样人进行沟通协商处理。</w:t>
      </w:r>
    </w:p>
    <w:p w14:paraId="00D72451">
      <w:pPr>
        <w:numPr>
          <w:ilvl w:val="0"/>
          <w:numId w:val="0"/>
        </w:numPr>
        <w:spacing w:before="0" w:beforeAutospacing="1" w:after="0" w:afterAutospacing="1"/>
        <w:ind w:left="360" w:leftChars="0"/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1713865</wp:posOffset>
            </wp:positionH>
            <wp:positionV relativeFrom="paragraph">
              <wp:posOffset>350520</wp:posOffset>
            </wp:positionV>
            <wp:extent cx="3609975" cy="1703070"/>
            <wp:effectExtent l="0" t="0" r="32385" b="3810"/>
            <wp:wrapThrough wrapText="bothSides">
              <wp:wrapPolygon>
                <wp:start x="0" y="0"/>
                <wp:lineTo x="0" y="21455"/>
                <wp:lineTo x="21520" y="21455"/>
                <wp:lineTo x="21520" y="0"/>
                <wp:lineTo x="0" y="0"/>
              </wp:wrapPolygon>
            </wp:wrapThrough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113155" cy="2314575"/>
            <wp:effectExtent l="0" t="0" r="14605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81B52">
      <w:pPr>
        <w:pStyle w:val="2"/>
        <w:outlineLvl w:val="0"/>
      </w:pPr>
      <w:bookmarkStart w:id="4" w:name="_Toc12540"/>
      <w:r>
        <w:t>五、送样准备与送达</w:t>
      </w:r>
      <w:bookmarkEnd w:id="4"/>
    </w:p>
    <w:p w14:paraId="0D5BCE5C">
      <w:pPr>
        <w:numPr>
          <w:ilvl w:val="0"/>
          <w:numId w:val="5"/>
        </w:numPr>
        <w:spacing w:before="0" w:beforeAutospacing="1" w:after="0" w:afterAutospacing="1"/>
        <w:ind w:left="720" w:hanging="360"/>
      </w:pPr>
      <w:r>
        <w:rPr>
          <w:b/>
        </w:rPr>
        <w:t>准备样品</w:t>
      </w:r>
      <w:r>
        <w:t>：</w:t>
      </w:r>
      <w:r>
        <w:rPr>
          <w:rFonts w:hint="eastAsia"/>
          <w:lang w:val="en-US" w:eastAsia="zh-CN"/>
        </w:rPr>
        <w:t>用户与接样单位达成一致后</w:t>
      </w:r>
      <w:r>
        <w:t>，按照检测要求对样品进行准备。确保样品的数量、</w:t>
      </w:r>
      <w:r>
        <w:rPr>
          <w:rFonts w:hint="eastAsia"/>
          <w:lang w:val="en-US" w:eastAsia="zh-CN"/>
        </w:rPr>
        <w:t>样品性状、保存要求</w:t>
      </w:r>
      <w:r>
        <w:t>等符合之前提交的申请信息。对于一些特殊样品，如需要低温保存、避光处理等，要做好相应的防护措施，并在送样时向检测人员特别说明。</w:t>
      </w:r>
    </w:p>
    <w:p w14:paraId="0EC1052C">
      <w:pPr>
        <w:numPr>
          <w:ilvl w:val="0"/>
          <w:numId w:val="5"/>
        </w:numPr>
        <w:spacing w:before="0" w:beforeAutospacing="1" w:after="0" w:afterAutospacing="1"/>
        <w:ind w:left="720" w:hanging="360"/>
      </w:pPr>
      <w:r>
        <w:rPr>
          <w:b/>
        </w:rPr>
        <w:t>送达样品</w:t>
      </w:r>
      <w:r>
        <w:t>：</w:t>
      </w:r>
      <w:r>
        <w:rPr>
          <w:rFonts w:hint="eastAsia"/>
          <w:lang w:eastAsia="zh-CN"/>
        </w:rPr>
        <w:t>在规定的送样时间内，须将样品及送样单按照对应表单要求送达指定地点。到达送样地点后，与接收人员进行样品交接，接收人员将仔细核对样品的</w:t>
      </w:r>
      <w:r>
        <w:rPr>
          <w:rFonts w:hint="eastAsia"/>
          <w:lang w:val="en-US" w:eastAsia="zh-CN"/>
        </w:rPr>
        <w:t>描述和数量等信息。确认无误后，接收人员需在平台内记录实际送样日期、实际接收数量，并同步安排测样时间及预计完成日期。</w:t>
      </w:r>
    </w:p>
    <w:p w14:paraId="68FF841C">
      <w:pPr>
        <w:numPr>
          <w:ilvl w:val="0"/>
          <w:numId w:val="0"/>
        </w:numPr>
        <w:spacing w:before="0" w:beforeAutospacing="1" w:after="0" w:afterAutospacing="1"/>
        <w:ind w:left="360" w:leftChars="0"/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1716405</wp:posOffset>
            </wp:positionH>
            <wp:positionV relativeFrom="paragraph">
              <wp:posOffset>180340</wp:posOffset>
            </wp:positionV>
            <wp:extent cx="3620770" cy="1724660"/>
            <wp:effectExtent l="0" t="0" r="6350" b="1270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047750" cy="2172335"/>
            <wp:effectExtent l="0" t="0" r="381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</w:p>
    <w:p w14:paraId="251A3EC8">
      <w:pPr>
        <w:pStyle w:val="2"/>
        <w:outlineLvl w:val="0"/>
        <w:rPr>
          <w:rFonts w:hint="default" w:eastAsiaTheme="minorEastAsia"/>
          <w:lang w:val="en-US" w:eastAsia="zh-CN"/>
        </w:rPr>
      </w:pPr>
      <w:bookmarkStart w:id="5" w:name="_Toc10696"/>
      <w:r>
        <w:rPr>
          <w:rFonts w:hint="eastAsia"/>
          <w:lang w:val="en-US" w:eastAsia="zh-CN"/>
        </w:rPr>
        <w:t>六</w:t>
      </w:r>
      <w:r>
        <w:t>、</w:t>
      </w:r>
      <w:r>
        <w:rPr>
          <w:rFonts w:hint="eastAsia"/>
          <w:lang w:val="en-US" w:eastAsia="zh-CN"/>
        </w:rPr>
        <w:t>测样结算及报告获取</w:t>
      </w:r>
      <w:bookmarkEnd w:id="5"/>
    </w:p>
    <w:p w14:paraId="50FEDC84">
      <w:pPr>
        <w:numPr>
          <w:ilvl w:val="0"/>
          <w:numId w:val="6"/>
        </w:numPr>
        <w:spacing w:before="0" w:beforeAutospacing="1" w:after="0" w:afterAutospacing="1"/>
        <w:ind w:left="720" w:hanging="360"/>
      </w:pPr>
      <w:r>
        <w:rPr>
          <w:rFonts w:hint="eastAsia"/>
          <w:b/>
          <w:lang w:val="en-US" w:eastAsia="zh-CN"/>
        </w:rPr>
        <w:t>测样结算</w:t>
      </w:r>
      <w:r>
        <w:t>：</w:t>
      </w:r>
      <w:r>
        <w:rPr>
          <w:rFonts w:hint="eastAsia"/>
          <w:lang w:val="en-US" w:eastAsia="zh-CN"/>
        </w:rPr>
        <w:t>实验完成后，接样人员将依据订单填写时的报告要求，采取相应的处理方式（如平台上传、快递邮寄、自取等）。同时，对本次订单进行最终费用确认，并可在备注栏内填写相关内容，用户确认订单费用和检测内容无误后则可安排。</w:t>
      </w:r>
    </w:p>
    <w:p w14:paraId="341FD100">
      <w:pPr>
        <w:widowControl w:val="0"/>
        <w:numPr>
          <w:ilvl w:val="0"/>
          <w:numId w:val="0"/>
        </w:numPr>
        <w:spacing w:before="0" w:beforeAutospacing="1" w:after="0" w:afterAutospacing="1"/>
        <w:jc w:val="both"/>
        <w:rPr>
          <w:rFonts w:hint="eastAsia"/>
          <w:lang w:val="en-US" w:eastAsia="zh-CN"/>
        </w:rPr>
      </w:pPr>
    </w:p>
    <w:p w14:paraId="0BDFFA22">
      <w:pPr>
        <w:widowControl w:val="0"/>
        <w:numPr>
          <w:ilvl w:val="0"/>
          <w:numId w:val="0"/>
        </w:numPr>
        <w:spacing w:before="0" w:beforeAutospacing="1" w:after="0" w:afterAutospacing="1"/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1588770</wp:posOffset>
            </wp:positionH>
            <wp:positionV relativeFrom="paragraph">
              <wp:posOffset>308610</wp:posOffset>
            </wp:positionV>
            <wp:extent cx="3773805" cy="1819275"/>
            <wp:effectExtent l="0" t="0" r="5715" b="9525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1175385" cy="2447925"/>
            <wp:effectExtent l="0" t="0" r="13335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A5BFEA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25BC39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55CC5F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bfDwky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t8PC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755CC5F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35BA1D"/>
    <w:multiLevelType w:val="singleLevel"/>
    <w:tmpl w:val="9435BA1D"/>
    <w:lvl w:ilvl="0" w:tentative="0">
      <w:start w:val="1"/>
      <w:numFmt w:val="decimal"/>
      <w:lvlText w:val="%1."/>
      <w:lvlJc w:val="left"/>
      <w:pPr>
        <w:ind w:left="720" w:hanging="360"/>
      </w:pPr>
      <w:rPr>
        <w:sz w:val="24"/>
      </w:rPr>
    </w:lvl>
  </w:abstractNum>
  <w:abstractNum w:abstractNumId="1">
    <w:nsid w:val="AC42797C"/>
    <w:multiLevelType w:val="multilevel"/>
    <w:tmpl w:val="AC42797C"/>
    <w:lvl w:ilvl="0" w:tentative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120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62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204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46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88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330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72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4140" w:leftChars="0" w:hanging="420" w:firstLineChars="0"/>
      </w:pPr>
      <w:rPr>
        <w:rFonts w:hint="default"/>
      </w:rPr>
    </w:lvl>
  </w:abstractNum>
  <w:abstractNum w:abstractNumId="2">
    <w:nsid w:val="B26D1237"/>
    <w:multiLevelType w:val="singleLevel"/>
    <w:tmpl w:val="B26D1237"/>
    <w:lvl w:ilvl="0" w:tentative="0">
      <w:start w:val="1"/>
      <w:numFmt w:val="decimal"/>
      <w:lvlText w:val="%1."/>
      <w:lvlJc w:val="left"/>
      <w:pPr>
        <w:ind w:left="720" w:hanging="360"/>
      </w:pPr>
      <w:rPr>
        <w:sz w:val="24"/>
      </w:rPr>
    </w:lvl>
  </w:abstractNum>
  <w:abstractNum w:abstractNumId="3">
    <w:nsid w:val="BE879EB8"/>
    <w:multiLevelType w:val="singleLevel"/>
    <w:tmpl w:val="BE879EB8"/>
    <w:lvl w:ilvl="0" w:tentative="0">
      <w:start w:val="1"/>
      <w:numFmt w:val="decimal"/>
      <w:lvlText w:val="%1."/>
      <w:lvlJc w:val="left"/>
      <w:pPr>
        <w:ind w:left="720" w:hanging="360"/>
      </w:pPr>
      <w:rPr>
        <w:sz w:val="24"/>
      </w:rPr>
    </w:lvl>
  </w:abstractNum>
  <w:abstractNum w:abstractNumId="4">
    <w:nsid w:val="0EB3BF34"/>
    <w:multiLevelType w:val="singleLevel"/>
    <w:tmpl w:val="0EB3BF34"/>
    <w:lvl w:ilvl="0" w:tentative="0">
      <w:start w:val="1"/>
      <w:numFmt w:val="decimal"/>
      <w:lvlText w:val="%1."/>
      <w:lvlJc w:val="left"/>
      <w:pPr>
        <w:ind w:left="720" w:hanging="360"/>
      </w:pPr>
      <w:rPr>
        <w:sz w:val="24"/>
      </w:rPr>
    </w:lvl>
  </w:abstractNum>
  <w:abstractNum w:abstractNumId="5">
    <w:nsid w:val="14D0DF83"/>
    <w:multiLevelType w:val="singleLevel"/>
    <w:tmpl w:val="14D0DF83"/>
    <w:lvl w:ilvl="0" w:tentative="0">
      <w:start w:val="1"/>
      <w:numFmt w:val="decimal"/>
      <w:lvlText w:val="%1."/>
      <w:lvlJc w:val="left"/>
      <w:pPr>
        <w:ind w:left="720" w:hanging="360"/>
      </w:pPr>
      <w:rPr>
        <w:sz w:val="24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E20ED0"/>
    <w:rsid w:val="2C957762"/>
    <w:rsid w:val="329D78DB"/>
    <w:rsid w:val="41073E17"/>
    <w:rsid w:val="45BB464D"/>
    <w:rsid w:val="6DDC2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qFormat/>
    <w:uiPriority w:val="0"/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1537</Words>
  <Characters>1581</Characters>
  <Lines>0</Lines>
  <Paragraphs>0</Paragraphs>
  <TotalTime>1</TotalTime>
  <ScaleCrop>false</ScaleCrop>
  <LinksUpToDate>false</LinksUpToDate>
  <CharactersWithSpaces>1678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2025-07-21T01:12:00Z</dcterms:created>
  <dc:creator>11767</dc:creator>
  <cp:lastModifiedBy>No way</cp:lastModifiedBy>
  <dcterms:modified xsi:type="dcterms:W3CDTF">2025-12-05T10:42:46Z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eyJoZGlkIjoiNDhjMDljZWRiODQ0ZjVhMDc0M2U2NTI3YjkyYjI3M2EiLCJ1c2VySWQiOiI0Njg1NDI4ODMifQ==</vt:lpwstr>
  </property>
  <property fmtid="{D5CDD505-2E9C-101B-9397-08002B2CF9AE}" pid="4" name="ICV">
    <vt:lpwstr>B1337115E5F94B9B926F344AE2536EE5_12</vt:lpwstr>
  </property>
</Properties>
</file>